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E426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t>9691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t>O.Š. MLADOST, JAKŠIĆ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E4266" w:rsidRDefault="006E1913">
            <w:pPr>
              <w:spacing w:after="0" w:line="240" w:lineRule="auto"/>
            </w:pPr>
            <w:r>
              <w:t>31</w:t>
            </w:r>
          </w:p>
        </w:tc>
      </w:tr>
    </w:tbl>
    <w:p w:rsidR="008E4266" w:rsidRDefault="006E1913">
      <w:r>
        <w:br/>
      </w:r>
    </w:p>
    <w:p w:rsidR="008E4266" w:rsidRDefault="006E191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E4266" w:rsidRDefault="006E191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E4266" w:rsidRDefault="006E191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2.354.702,92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2.202.996,93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1.951.526,99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2.357.244,47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154.247,54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360.764,92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102.787,32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28,5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360.764,92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102.787,32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28,5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257.034,86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 </w:t>
      </w:r>
    </w:p>
    <w:p w:rsidR="008E4266" w:rsidRDefault="006E1913">
      <w:r>
        <w:t xml:space="preserve">Člankom 8. Pravilnika o financijskom izvještavanju u proračunskom računovodstvu (NN 37/2022) propisan je sadržaj financijskih izvještaja. Bilješke uz financijske izvještaje sastavni su dio financijskih izvještaja proračuna. Temeljem članka 14. Bilješke su </w:t>
      </w:r>
      <w:r>
        <w:t>dopuna podataka uz financijske izvještaje.</w:t>
      </w:r>
    </w:p>
    <w:p w:rsidR="008E4266" w:rsidRDefault="006E1913">
      <w:r>
        <w:lastRenderedPageBreak/>
        <w:t>Članak 15. Pravilnika o financijskom izvještavanju u proračunskom računovodstvu propisuje obvezne Bilješke uz Bilancu čiji su sadržaj i forma propisani Pravilnikom.</w:t>
      </w:r>
    </w:p>
    <w:p w:rsidR="008E4266" w:rsidRDefault="006E1913">
      <w:r>
        <w:t>Osnovna škola „Mladost“, Jakšić, pri evidentiran</w:t>
      </w:r>
      <w:r>
        <w:t>ju poslovnih promjena primjenjuje modificirano računovodstveno načelo priznavanja prihoda i rashoda te je obveznik dvojnog proračunskog računovodstva. </w:t>
      </w:r>
    </w:p>
    <w:p w:rsidR="008E4266" w:rsidRDefault="006E1913">
      <w:r>
        <w:t> </w:t>
      </w:r>
    </w:p>
    <w:p w:rsidR="008E4266" w:rsidRDefault="006E1913">
      <w:r>
        <w:t>Uvod:</w:t>
      </w:r>
    </w:p>
    <w:p w:rsidR="008E4266" w:rsidRDefault="006E1913">
      <w:r>
        <w:t>Osnovna djelatnost škole je odgoj i osnovno obrazovanje i ne obavlja  niti jednu dodatnu ili gos</w:t>
      </w:r>
      <w:r>
        <w:t>podarsku djelatnost. </w:t>
      </w:r>
    </w:p>
    <w:p w:rsidR="008E4266" w:rsidRDefault="006E1913">
      <w:r>
        <w:t>Tijekom godine nije došlo do promjena ustroja ili organizacije. </w:t>
      </w:r>
    </w:p>
    <w:p w:rsidR="008E4266" w:rsidRDefault="006E1913">
      <w:r>
        <w:t>Škola je od 01.09.2023. ušla u Eksperimentalni program Cjelodnevne nastave.</w:t>
      </w:r>
    </w:p>
    <w:p w:rsidR="008E4266" w:rsidRDefault="006E1913">
      <w:r>
        <w:t>Odgovorna osoba je Boško Obradović, ravnatelj.</w:t>
      </w:r>
    </w:p>
    <w:p w:rsidR="008E4266" w:rsidRDefault="006E1913">
      <w:r>
        <w:t>Osoba koja je sastavljala Bilješke je Monika P</w:t>
      </w:r>
      <w:r>
        <w:t>us, voditelj računovodstva, a ujedno je odgovorna i za sastavljanje financijskih izvješća.</w:t>
      </w:r>
    </w:p>
    <w:p w:rsidR="008E4266" w:rsidRDefault="006E1913">
      <w:r>
        <w:t> </w:t>
      </w:r>
    </w:p>
    <w:p w:rsidR="008E4266" w:rsidRDefault="006E1913">
      <w:r>
        <w:br/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2.354.702,92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2.202.996,93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93,6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U razdoblju siječanj-prosinac 2025. godine škola je ostvarila ukupan prihod poslovanja  u iznosu 2.202.996,93 eura. Prihodi su umanjeni u odnosu na prethodnu godinu (indeks 93,6) jer su u 2024. g. doznačena većinska sredstva vezana za  B1-izvannastavne akt</w:t>
      </w:r>
      <w:r>
        <w:t>ivnosti i B2-izvanškolske aktivnosti za školsku godinu 24/25 u sklopu programa CDŠ (cjelodnevna škola), te su prenesena u višku za 2025. godinu, a također za iste aktivnosti ( B1 i B2) za školsku godinu 25/26 doznačen je samo manji dio sredstava u 2025. go</w:t>
      </w:r>
      <w:r>
        <w:t>dini, te se po istoj aktivnosti bilježi manjak prihoda (ukupno potraživanje je 235.080,00 eura, a doznačeno je 18.660,00 eura). 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324.499,28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89.239,60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lastRenderedPageBreak/>
        <w:t>Kapitalne pomoći proračunskim korisnicima iz proračuna koji im nije nadležan se odnose na prihode iz državnog proračuna za opremanje obveznom lektirom, prihode evidentirane po potvrdi o zaprimljenoj uplati za radove i opremu prilagodbe Škole za CDŠ, doznak</w:t>
      </w:r>
      <w:r>
        <w:t xml:space="preserve">a DP za B1 25/26 (1. dio), te prihode za udžbenike za školsku godinu 25/26. Također se odnose i na prihode Općine Jakšić za uvođenje </w:t>
      </w:r>
      <w:proofErr w:type="spellStart"/>
      <w:r>
        <w:t>videoportafona</w:t>
      </w:r>
      <w:proofErr w:type="spellEnd"/>
      <w:r>
        <w:t xml:space="preserve"> i novih brava za poboljšanje sigurnosti, također i za </w:t>
      </w:r>
      <w:proofErr w:type="spellStart"/>
      <w:r>
        <w:t>videonadzore</w:t>
      </w:r>
      <w:proofErr w:type="spellEnd"/>
      <w:r>
        <w:t>. Ovi prihodi su umanjeni u odnosu na pret</w:t>
      </w:r>
      <w:r>
        <w:t>hodnu godinu obzirom da su radovi na prilagodbi Škole CDŠ-u većinski završeni u 2024. godini.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42.050,08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458,3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Prijenosi između proračunskih korisnika istog proračuna su uvećani u odnosu na prethodnu godinu zbog promjene načina knjiženja prihoda za tekući projekt Obrazujmo se zajedno VIII koji su do listopada 2024. praćeni na kontu 671  Prihodi iz nadležnog proraču</w:t>
      </w:r>
      <w:r>
        <w:t>na za financiranje redovne djelatnosti proračunskih korisnika.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 posebnim </w:t>
            </w:r>
            <w:r>
              <w:rPr>
                <w:sz w:val="18"/>
              </w:rPr>
              <w:t>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Prihodi po posebnim propisima u 2025. godini nisu ostvareni, a u 2024. godini je Škola primila doznaku CROATIA OSIGURANJA na temelju </w:t>
      </w:r>
      <w:proofErr w:type="spellStart"/>
      <w:r>
        <w:t>reobračuna</w:t>
      </w:r>
      <w:proofErr w:type="spellEnd"/>
      <w:r>
        <w:t xml:space="preserve"> štete od tuče 2021.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kapitalnih pomoći po protestiranim jamstvima </w:t>
            </w:r>
            <w:r>
              <w:rPr>
                <w:sz w:val="18"/>
              </w:rPr>
              <w:t>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352,7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Prihodi na ovoj poziciji se odnose na donaciju prijevoznog poduzeća </w:t>
      </w:r>
      <w:proofErr w:type="spellStart"/>
      <w:r>
        <w:t>Atlantis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d.o.o. za dnevnice učitelja koji su vodili učenike na višednevnu ekskurziju u organizaciji istog, donaciju Adriatic osiguranja na temelju osiguranja učenika Škole, te trgov</w:t>
      </w:r>
      <w:r>
        <w:t xml:space="preserve">ačkog društva </w:t>
      </w:r>
      <w:proofErr w:type="spellStart"/>
      <w:r>
        <w:t>Slavonijapapir</w:t>
      </w:r>
      <w:proofErr w:type="spellEnd"/>
      <w:r>
        <w:t>. 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Prihodi se od</w:t>
      </w:r>
      <w:r>
        <w:t>nose na odo</w:t>
      </w:r>
      <w:r>
        <w:t>brena sredstva Osnivača za natječaj Kreativni i neovisni, doznaku AUTOTRANS d.d., i uplatu za najam zemljišta 2025 - PRSKAVAC ANTUN OPG.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1.541.541,80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1.883.052,94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122,2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Rashodi za zaposlene su uvećani u odnosu na prošlu godinu obzirom da je osnovica za obračun rasla dva puta u 2025. godini i to 1. veljače, te 1. rujna 2025. godine. Također je rasla i osnovica za obračun jubilarnih nagrada.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15.907,57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40.718,45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Rashodi za usluge telefona, interneta, pošte i prijevoza su uvećani u odnosu na prošlu godinu zbog organizacije više ekskurzija i izleta pri izvođenju izvannastavnih aktivnosti (B1).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86.994,88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107.500,44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Uvećani rashodi za Ostale nespomenute rashode poslovanja se odnose na plaćanje Udruga i ostalih društava i fizičkih osoba koje obavljaju program izvanškolskih aktivnosti (B2) u sklopu Eksperimentalnog programa Cjelodnevne nastave.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50.314,54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64.268,60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Ovi rashodi se odnose na nabavku novih radnih udžbenika i dodatnih obrazovnih materijala u školskoj godini 2025./2026.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154.247,54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Manjak prihoda poslovanja se odnosi na metodološki manjak plaće 12/24 zbog promjene načina knjiženja, tj. ukidanja konta 193 novim Pravilnikom.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376.094,79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Obračunati prihodi poslovanja - nenaplaćeni se odnose na potraživanja prema Odluci o financiranju izvannastavnih (program B1) i izvanškolskih aktivnosti (program B2) za 25/26 </w:t>
      </w:r>
      <w:proofErr w:type="spellStart"/>
      <w:r>
        <w:t>šk.god</w:t>
      </w:r>
      <w:proofErr w:type="spellEnd"/>
      <w:r>
        <w:t>....KLASA: 602-02/25-08/01503, URBROJ: 533-05-25-0001 iz Državnog proračuna</w:t>
      </w:r>
      <w:r>
        <w:t xml:space="preserve"> u iznosu od 216.420,00 eura, te potraživanja za plaću 12/25 iz Državnog proračuna u iznosu od 145.346,54 eura, za program Prehrane učenika u iznosu 9.518,00 eura, te prema Odluci o </w:t>
      </w:r>
      <w:proofErr w:type="spellStart"/>
      <w:r>
        <w:t>dodj</w:t>
      </w:r>
      <w:proofErr w:type="spellEnd"/>
      <w:r>
        <w:t xml:space="preserve">. </w:t>
      </w:r>
      <w:proofErr w:type="spellStart"/>
      <w:r>
        <w:t>bespovr.sred</w:t>
      </w:r>
      <w:proofErr w:type="spellEnd"/>
      <w:r>
        <w:t>. OŠ i SŠ te UD za nabavku dijagnostičkih instrumenata z</w:t>
      </w:r>
      <w:r>
        <w:t xml:space="preserve">a </w:t>
      </w:r>
      <w:proofErr w:type="spellStart"/>
      <w:r>
        <w:t>šk.god</w:t>
      </w:r>
      <w:proofErr w:type="spellEnd"/>
      <w:r>
        <w:t>. 25/26...KLASA:402-01/25-01/00025, URBROJ:</w:t>
      </w:r>
      <w:r>
        <w:br/>
        <w:t xml:space="preserve">533-06-25-0001 - DRŽAVNI PRORAČUN RH u iznosu od 2.671,35 eura, također za potraživanje prema Općini Jakšić za dodatne obrazovne materijale koje ne pokriva MZOM u </w:t>
      </w:r>
      <w:proofErr w:type="spellStart"/>
      <w:r>
        <w:t>znosu</w:t>
      </w:r>
      <w:proofErr w:type="spellEnd"/>
      <w:r>
        <w:t xml:space="preserve"> 1.056,51 eura i za uslugu najma ŠS </w:t>
      </w:r>
      <w:r>
        <w:t>dvorane u iznosu 1.082,39 eura. Ovi prihodi su uvećani u odnosu na prošlu godinu zbog primjene novog Pravilnika o proračunskom računovodstvu i Računskom planu (Narodne novine, br. 158/23 i 154/24).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360.764,92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102.787,32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28,5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Rashodi za nabavu nefinancijske imovine su umanjeni u odnosu na prošlu godinu jer se cjelokupni trošak prilagodbe prostora i nabavke opreme za provođenje Cjelodnevne nastave u 2024. godini vodila na kontu 454-Dodatna ulaganja za </w:t>
      </w:r>
      <w:proofErr w:type="spellStart"/>
      <w:r>
        <w:t>ost.nefin</w:t>
      </w:r>
      <w:proofErr w:type="spellEnd"/>
      <w:r>
        <w:t>. imovinu,  u izno</w:t>
      </w:r>
      <w:r>
        <w:t>su 300.967,09 eura, a okončana situacija, tj. završetak radova se zaključio u 2025.godini.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17.052,63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252,4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Na ovom kontu su uvećani rashodi jer se pristupilo obnovi fonda udžbenika.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- preneseni (šifre 92211+92212-92221-92222)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VP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88.227,97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Višak prihoda- preneseni je neznatno promijenjen u odnosu na Financijsko izvješć</w:t>
      </w:r>
      <w:r>
        <w:t>e 31.12.2024. jer se pristupilo ispravku početnog stanja konta 23222004 Materijal i sirovine obzirom da se nije moglo tijekom godina utvrditi nastanak istog u iznosu od 0,25 eu</w:t>
      </w:r>
      <w:r>
        <w:t>ra.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prihoda i primitaka - preneseni (šifre '9221x,9222x VP' - '9221x,9222x </w:t>
            </w:r>
            <w:r>
              <w:rPr>
                <w:sz w:val="18"/>
              </w:rPr>
              <w:t>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45.816,71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88.227,97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192,6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Ostvaren ukupan višak prihoda na dan 31.12. 2024.g. iznosio je 88.227,72 eura. U 2025.g. provedena su sljedeća usklađivanja financijskog rezultata (konto 92214) u ukupno iznosu od 0,25 eura koja se odnose isknjižavanje zaduženog početnog stanja konta 23222</w:t>
      </w:r>
      <w:r>
        <w:t>004 Materijal i sirovine zbog nemogućnosti utvrđivanja nastanka istog. Nakon ovog knjiženja preneseni financijski rezultat iznosi 88.227,97 eura.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168.806,89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Manjak prihoda i primitaka za pokriće u sljedećem razdoblju se odnosi na </w:t>
      </w:r>
      <w:proofErr w:type="spellStart"/>
      <w:r>
        <w:t>metodolodški</w:t>
      </w:r>
      <w:proofErr w:type="spellEnd"/>
      <w:r>
        <w:t xml:space="preserve"> manjak sredstava za plaću djelatnika za 12/25, te manjak sredstava za pokriće troškova za izvannastavne aktivnosti (B1).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2.531.645,99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2.744.315,58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U Bilanci vidljivo je povećanje vrijednosti imovine (ŠIFRA B001-indeks 108,4) što proizlazi iz činjenice da je Škola ulaskom u program Cjelodnevne nastave morala izvršiti određene prilagodbe te je nabavkom potrebnih sredstava i određenim radovima u 2024. g</w:t>
      </w:r>
      <w:r>
        <w:t>odini, a koji su završili u veljači 2025. godine na temelju čega se pristupilo uvećanju vrijednosti imovine. Također se u 2025. godini pristupilo i izgradnji prostora za operativnog djelatnika za sigurnost i zaštitu , a ujedno i zbog povećanja sigurnosti u</w:t>
      </w:r>
      <w:r>
        <w:t xml:space="preserve"> Školama uvođenju </w:t>
      </w:r>
      <w:proofErr w:type="spellStart"/>
      <w:r>
        <w:t>videonadzora</w:t>
      </w:r>
      <w:proofErr w:type="spellEnd"/>
      <w:r>
        <w:t xml:space="preserve"> i </w:t>
      </w:r>
      <w:proofErr w:type="spellStart"/>
      <w:r>
        <w:t>videoportafona</w:t>
      </w:r>
      <w:proofErr w:type="spellEnd"/>
      <w:r>
        <w:t xml:space="preserve"> i sigurnosnih brava. Također se u 2025. godini uključila i rekonstrukcija fasade kotlovnice uz matičnu Školu kao povećanje vrijednosti imovine.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</w:t>
            </w:r>
            <w:r>
              <w:rPr>
                <w:b/>
                <w:sz w:val="18"/>
              </w:rPr>
              <w:t>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Odnose se na povrat poreza na dohodak po konačnom obračunu GOPP-a na plaći 11/25 koji je isplaćen djelatnicima. Sredstva će biti uplaćena u 2026. godini.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1035,4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Odnose se na potraživanja za bolovanje na teret HZZO (preko 42 dana, za dijete..), te potraživanja za predujmove u iznosu 332,38 a odnose se na potraživanja prema Tekija d.o.o. zbog naknadnog umanjenja računa za 11/25.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100.808,80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377.924,06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374,9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Potraživanja za prihode poslovanja su uvećana u odnosu na prošlu godinu zbog primjene novog Pravilnika o proračunskom računovodstvu i računskom planu (Narodne novine, br. 158/23 i 154/24) te knjiženja potraživanja po svakom Ugovoru, odnosno Odluci.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130.196,77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Zbog primjene novog Pravilnika o proračunskom računovodstvu i Računskom planu (Narodne novine, br. 158/23 i 154/24) od 1.1.2025. ovaj konto se više ne koristi.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133.418,24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149.683,37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Obveze za zaposlene su uvećane zbog povećanja osnovice za obračun plaća zaposlenika u dva navrata, te također zbog zapošljavanja novog djelatnika na poslovima operativnog djelatnika za zaštitu i sigurnost.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88.227,72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-168.806,89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-191,3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Manjak prihoda i primitaka za pokriće u sljedećem razdoblju se odnosi na </w:t>
      </w:r>
      <w:proofErr w:type="spellStart"/>
      <w:r>
        <w:t>metodolodški</w:t>
      </w:r>
      <w:proofErr w:type="spellEnd"/>
      <w:r>
        <w:t xml:space="preserve"> manjak sredstava za plaću djelatnika za 12/25, te manjak sredstava za pokriće troškova za izvannastavne aktivnosti (B1).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376.094,79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Obračunati prihodi poslovanja - nenaplaćeni se odnose na potraživanja prema Odluci o financiranju izvannastavnih (program B1) i izvanškolskih aktivnosti (program B2) za 25/26 </w:t>
      </w:r>
      <w:proofErr w:type="spellStart"/>
      <w:r>
        <w:t>šk.god</w:t>
      </w:r>
      <w:proofErr w:type="spellEnd"/>
      <w:r>
        <w:t>....KLASA: 602-02/25-08/01503, URBROJ: 533-05-25-0001 iz Državnog proračuna</w:t>
      </w:r>
      <w:r>
        <w:t xml:space="preserve"> u iznosu od 216.420,00 eura, te potraživanja za plaću 12/25 iz Državnog proračuna u iznosu od 145.346,54 eura, za program Prehrane učenika u iznosu 9.518,00 eura, te prema Odluci o </w:t>
      </w:r>
      <w:proofErr w:type="spellStart"/>
      <w:r>
        <w:t>dodj</w:t>
      </w:r>
      <w:proofErr w:type="spellEnd"/>
      <w:r>
        <w:t xml:space="preserve">. </w:t>
      </w:r>
      <w:proofErr w:type="spellStart"/>
      <w:r>
        <w:t>bespovr.sred</w:t>
      </w:r>
      <w:proofErr w:type="spellEnd"/>
      <w:r>
        <w:t>. OŠ i SŠ te UD za nabavku dijagnostičkih instrumenata z</w:t>
      </w:r>
      <w:r>
        <w:t xml:space="preserve">a </w:t>
      </w:r>
      <w:proofErr w:type="spellStart"/>
      <w:r>
        <w:t>šk.god</w:t>
      </w:r>
      <w:proofErr w:type="spellEnd"/>
      <w:r>
        <w:t>. 25/26...KLASA:402-01/25-01/00025, URBROJ:</w:t>
      </w:r>
      <w:r>
        <w:br/>
        <w:t xml:space="preserve">533-06-25-0001 - DRŽAVNI PRORAČUN RH u iznosu od 2.671,35 eura, također za potraživanje prema Općini Jakšić za dodatne obrazovne materijale koje ne pokriva MZOM u </w:t>
      </w:r>
      <w:proofErr w:type="spellStart"/>
      <w:r>
        <w:t>znosu</w:t>
      </w:r>
      <w:proofErr w:type="spellEnd"/>
      <w:r>
        <w:t xml:space="preserve"> 1.056,51 eura i za uslugu najma ŠS </w:t>
      </w:r>
      <w:r>
        <w:t>dvorane u iznosu 1.082,39 eura. Ovi prihodi su uvećani u odnosu na prošlu godinu zbog primjene novog Pravilnika o proračunskom računovodstvu i Računskom planu (Narodne novine, br. 158/23 i 154/24).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1022,0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Odnosi se na potraživanja za bolovanje na teret HZZO.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9.599,37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6097,2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Obveze za rashode poslovanja - dospjele se odnose na trošak prehrane učenika, troškove B1 i B2 aktivnosti.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142,2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 xml:space="preserve">Odnose se na povrat poreza na dohodak po konačnom obračunu </w:t>
      </w:r>
      <w:proofErr w:type="spellStart"/>
      <w:r>
        <w:t>GOPPa</w:t>
      </w:r>
      <w:proofErr w:type="spellEnd"/>
      <w:r>
        <w:t xml:space="preserve"> na plaći za 11/25 koji je isplaćen djelatnicima. Sredstva će biti uplaćena u 2026. godini.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665,2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Odnosi se na potraživanja za bolovanje na teret HZZO (preko 42 dana i za dijete).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2.312.291,91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2.460.031,79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Sadrži podatak o ukupnim rashodima poslovanja razreda 3 i rashoda za nabavu nefinancijske imovine razreda 4 u izvještajnom razdoblju u iznosu od 2.460.031,79 euro. Taj iznos je podijeljen na ŠIFRI 0912 Osnovno obrazovanje – 2.368.917,75 eura tj. svi rashod</w:t>
      </w:r>
      <w:r>
        <w:t>i razreda 3 i 4 umanjeni za ŠIFRI 096 Dodatne usluge u obrazovanju u iznosu od 91.114,04 eura , a  koji se odnose na rashode za namirnice u školskoj kuhinji za prehranu učenika. 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48.745,20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Odnosi se na ispravak vrijednosti imovine koji se po novom Pravilniku o proračunskom računovodstvu i Računskom planu (Narodne novine, br. 158/23 i 154/24) prikazuje preko konta 915.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financijske imovine (šifre P009 do P015)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Odnosi se na ispravak vrijednosti potraživanja za sufinanciranje cijene prehrane učenika, te najma SŠ dvorane starijih od dvije godine.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9.974,37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Stanje dospjelih obveza u iznosu 9.974,37 eura je rezultat umanjene doznake sredstava iz državnog proračuna za potrebe B1 programa.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E42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E426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8E42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</w:t>
            </w:r>
            <w:r>
              <w:rPr>
                <w:sz w:val="18"/>
              </w:rPr>
              <w:t>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170.723,33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E4266" w:rsidRDefault="006E191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E4266" w:rsidRDefault="008E4266">
      <w:pPr>
        <w:spacing w:after="0"/>
      </w:pPr>
    </w:p>
    <w:p w:rsidR="008E4266" w:rsidRDefault="006E1913">
      <w:r>
        <w:t>Stanje nedospjelih obveza za rashode poslovanja u iznosu od 170.723,33 eura, te dospjelih obveza u iznosu 9.974,37 eura ( sredstva iz B1 programa koja nisu doznačena u punom iznosu) odnosi se na: </w:t>
      </w:r>
    </w:p>
    <w:p w:rsidR="008E4266" w:rsidRDefault="006E1913">
      <w:r>
        <w:lastRenderedPageBreak/>
        <w:t xml:space="preserve"> - 231 -  obveze za zaposlene u iznosu od 149.683,37 eura, </w:t>
      </w:r>
      <w:r>
        <w:t>odnosno plaće za prosinac 2025. godine,</w:t>
      </w:r>
    </w:p>
    <w:p w:rsidR="008E4266" w:rsidRDefault="006E1913">
      <w:r>
        <w:t>- 232 -  obveze za materijalne rashode u iznosu od 23.930,87 eura,</w:t>
      </w:r>
    </w:p>
    <w:p w:rsidR="008E4266" w:rsidRDefault="006E1913">
      <w:r>
        <w:t xml:space="preserve">- 237- obveze za račune dobavljača Profil </w:t>
      </w:r>
      <w:proofErr w:type="spellStart"/>
      <w:r>
        <w:t>Klett</w:t>
      </w:r>
      <w:proofErr w:type="spellEnd"/>
      <w:r>
        <w:t xml:space="preserve"> d.o.o. za radne udžbenike i radne bilježnice 24/24 te ostale odgojno obrazovne materijale u iznosu 1.</w:t>
      </w:r>
      <w:r>
        <w:t>256,00 eura,</w:t>
      </w:r>
    </w:p>
    <w:p w:rsidR="008E4266" w:rsidRDefault="006E1913">
      <w:r>
        <w:t>- 239 – ostale tekuće obveze 998,65 eura,</w:t>
      </w:r>
    </w:p>
    <w:p w:rsidR="008E4266" w:rsidRDefault="006E1913">
      <w:r>
        <w:t xml:space="preserve">_ 24- Obveze za nabavu nefinancijske imovine za račune Školske knjige d.d. za </w:t>
      </w:r>
      <w:proofErr w:type="spellStart"/>
      <w:r>
        <w:t>lektirnu</w:t>
      </w:r>
      <w:proofErr w:type="spellEnd"/>
      <w:r>
        <w:t xml:space="preserve"> građu iz B1, uredski namještaj </w:t>
      </w:r>
      <w:proofErr w:type="spellStart"/>
      <w:r>
        <w:t>Teding</w:t>
      </w:r>
      <w:proofErr w:type="spellEnd"/>
      <w:r>
        <w:t xml:space="preserve"> d.o.o., </w:t>
      </w:r>
    </w:p>
    <w:p w:rsidR="008E4266" w:rsidRDefault="006E1913">
      <w:r>
        <w:t> </w:t>
      </w:r>
    </w:p>
    <w:p w:rsidR="008E4266" w:rsidRDefault="008E4266"/>
    <w:p w:rsidR="008E4266" w:rsidRDefault="006E1913">
      <w:pPr>
        <w:keepNext/>
        <w:spacing w:line="240" w:lineRule="auto"/>
        <w:jc w:val="center"/>
      </w:pPr>
      <w:r>
        <w:rPr>
          <w:sz w:val="28"/>
        </w:rPr>
        <w:t>Bilješka 36.</w:t>
      </w:r>
    </w:p>
    <w:p w:rsidR="008E4266" w:rsidRDefault="006E1913">
      <w:pPr>
        <w:spacing w:line="240" w:lineRule="auto"/>
        <w:jc w:val="both"/>
      </w:pPr>
      <w:r>
        <w:rPr>
          <w:b/>
        </w:rPr>
        <w:t>EU izvještaj</w:t>
      </w:r>
    </w:p>
    <w:p w:rsidR="008E4266" w:rsidRDefault="006E1913">
      <w:r>
        <w:t>U EU Izvještaju su praćeni prihodi i r</w:t>
      </w:r>
      <w:r>
        <w:t>ashodi projekta Obrazujmo se zajedno VIII a odnose se samo na plaće pomoćnika u nastavi za godinu 2025. po izvoru 56.</w:t>
      </w:r>
    </w:p>
    <w:p w:rsidR="008E4266" w:rsidRDefault="006E1913">
      <w:r>
        <w:t>Ukupni prihodi su ostvareni u iznosu od 42.050,08 eura te su razvrstani na slijedeće izvore financiranja:</w:t>
      </w:r>
    </w:p>
    <w:p w:rsidR="008E4266" w:rsidRDefault="006E1913">
      <w:r>
        <w:t>-Izvor 561 Europski socijalni fo</w:t>
      </w:r>
      <w:r>
        <w:t>nd - 35.742,57 eura,</w:t>
      </w:r>
    </w:p>
    <w:p w:rsidR="008E4266" w:rsidRDefault="006E1913">
      <w:r>
        <w:t>-Nacionalno sufinanciranje - 6.307,51 eura.</w:t>
      </w:r>
    </w:p>
    <w:p w:rsidR="008E4266" w:rsidRDefault="006E1913">
      <w:r>
        <w:t>Ukupni rashodi za 2025. godinu iznose 42.906,37 eura te su praćeni po slijedećim izvorima:</w:t>
      </w:r>
    </w:p>
    <w:p w:rsidR="008E4266" w:rsidRDefault="006E1913">
      <w:r>
        <w:t>-Izvor 561 Europski socijalni fond - 36.470,42 eura,</w:t>
      </w:r>
    </w:p>
    <w:p w:rsidR="008E4266" w:rsidRDefault="006E1913">
      <w:r>
        <w:t>-Nacionalno sufinanciranje - 6.435,95 eura.</w:t>
      </w:r>
    </w:p>
    <w:p w:rsidR="008E4266" w:rsidRDefault="008E4266"/>
    <w:p w:rsidR="006E1913" w:rsidRDefault="006E1913"/>
    <w:p w:rsidR="006E1913" w:rsidRDefault="006E1913">
      <w:r>
        <w:t>Bilješke sastavio:</w:t>
      </w:r>
    </w:p>
    <w:p w:rsidR="006E1913" w:rsidRDefault="006E1913">
      <w:r>
        <w:t>Voditeljica računovodstva</w:t>
      </w:r>
    </w:p>
    <w:p w:rsidR="006E1913" w:rsidRDefault="006E1913">
      <w:r>
        <w:t>Monika Pus</w:t>
      </w:r>
      <w:bookmarkStart w:id="0" w:name="_GoBack"/>
      <w:bookmarkEnd w:id="0"/>
    </w:p>
    <w:sectPr w:rsidR="006E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6"/>
    <w:rsid w:val="006E1913"/>
    <w:rsid w:val="008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A160"/>
  <w15:docId w15:val="{2CCD48D9-3706-45F2-940B-8604ACB3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Pus</cp:lastModifiedBy>
  <cp:revision>2</cp:revision>
  <dcterms:created xsi:type="dcterms:W3CDTF">2026-02-03T09:25:00Z</dcterms:created>
  <dcterms:modified xsi:type="dcterms:W3CDTF">2026-02-03T09:25:00Z</dcterms:modified>
</cp:coreProperties>
</file>